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ms-word.stylesWithEffects+xml" PartName="/word/glossary/stylesWithEffect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customUI/customUI.xml" Type="http://schemas.microsoft.com/office/2006/relationships/ui/extensibility" Id="cuID"/><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70492" w:rsidP="00E67D40" w:rsidRDefault="00170492" w14:paraId="eca5628" w14:textId="eca5628">
      <w:pPr>
        <w:pStyle w:val="SudNaziv"/>
        <w15:collapsed w:val="false"/>
        <w:rPr>
          <w:rStyle w:val="PozadinaSvijetloZelena"/>
          <w:b w:val="false"/>
        </w:rPr>
      </w:pPr>
      <w:bookmarkStart w:name="_GoBack" w:id="0"/>
      <w:bookmarkEnd w:id="0"/>
      <w:r w:rsidRPr="00AD32DA">
        <w:rPr>
          <w:b w:val="false"/>
          <w:lang w:eastAsia="hr-HR"/>
        </w:rPr>
        <w:drawing>
          <wp:anchor distT="0" distB="0" distL="114300" distR="114300" simplePos="false" relativeHeight="251658240" behindDoc="false" locked="false" layoutInCell="true" allowOverlap="true">
            <wp:simplePos x="0" y="0"/>
            <wp:positionH relativeFrom="page">
              <wp:posOffset>1929753</wp:posOffset>
            </wp:positionH>
            <wp:positionV relativeFrom="page">
              <wp:posOffset>824865</wp:posOffset>
            </wp:positionV>
            <wp:extent cx="523411" cy="698960"/>
            <wp:effectExtent l="0" t="0" r="0" b="6350"/>
            <wp:wrapNone/>
            <wp:docPr id="1" name="eSPIS_GrbRH"/>
            <wp:cNvGraphicFramePr>
              <a:graphicFrameLocks noChangeAspect="true"/>
            </wp:cNvGraphicFramePr>
            <a:graphic>
              <a:graphicData uri="http://schemas.openxmlformats.org/drawingml/2006/picture">
                <pic:pic>
                  <pic:nvPicPr>
                    <pic:cNvPr id="0" name="image1.png"/>
                    <pic:cNvPicPr/>
                  </pic:nvPicPr>
                  <pic:blipFill>
                    <a:blip cstate="print"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523411" cy="698960"/>
                    </a:xfrm>
                    <a:prstGeom prst="rect">
                      <a:avLst/>
                    </a:prstGeom>
                  </pic:spPr>
                </pic:pic>
              </a:graphicData>
            </a:graphic>
          </wp:anchor>
        </w:drawing>
      </w:r>
    </w:p>
    <w:p w:rsidR="004C60ED" w:rsidP="00E67D40" w:rsidRDefault="004C60ED">
      <w:pPr>
        <w:pStyle w:val="SudNaziv"/>
        <w:rPr>
          <w:rStyle w:val="PozadinaSvijetloZelena"/>
          <w:b w:val="false"/>
        </w:rPr>
      </w:pPr>
    </w:p>
    <w:p w:rsidR="004C60ED" w:rsidP="00E67D40" w:rsidRDefault="004C60ED">
      <w:pPr>
        <w:pStyle w:val="SudNaziv"/>
        <w:rPr>
          <w:rStyle w:val="PozadinaSvijetloZelena"/>
          <w:b w:val="false"/>
        </w:rPr>
      </w:pPr>
    </w:p>
    <w:p w:rsidRPr="00AD32DA" w:rsidR="004C60ED" w:rsidP="00E67D40" w:rsidRDefault="004C60ED">
      <w:pPr>
        <w:pStyle w:val="SudNaziv"/>
        <w:rPr>
          <w:rStyle w:val="PozadinaSvijetloZelena"/>
          <w:b w:val="false"/>
        </w:rPr>
      </w:pPr>
    </w:p>
    <w:p w:rsidR="00170492" w:rsidP="00AD32DA" w:rsidRDefault="009707A0">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Pr="009707A0" w:rsidR="00170492">
            <w:rPr>
              <w:rStyle w:val="eSPISCCParagraphDefaultFont"/>
              <w:rFonts w:eastAsiaTheme="minorHAnsi"/>
            </w:rPr>
            <w:t>REPUBLIKA HRVATSKA</w:t>
          </w:r>
        </w:sdtContent>
      </w:sdt>
    </w:p>
    <w:p w:rsidRPr="00AD32DA" w:rsidR="00AE649C" w:rsidP="00E67D40" w:rsidRDefault="009707A0">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9707A0" w:rsidR="0052689E">
            <w:rPr>
              <w:rStyle w:val="eSPISCCParagraphDefaultFont"/>
              <w:rFonts w:eastAsiaTheme="minorHAnsi"/>
            </w:rPr>
            <w:t>Visoki trgovački sud Republike Hrvatske</w:t>
          </w:r>
        </w:sdtContent>
      </w:sdt>
    </w:p>
    <w:p w:rsidR="00170492" w:rsidP="005E2148" w:rsidRDefault="009707A0">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9707A0" w:rsidR="0052689E">
            <w:rPr>
              <w:rStyle w:val="eSPISCCParagraphDefaultFont"/>
            </w:rPr>
            <w:t>Berislavićeva 11</w:t>
          </w:r>
        </w:sdtContent>
      </w:sdt>
      <w:r w:rsidRPr="005E2148" w:rsidR="0022360E">
        <w:rPr>
          <w:rStyle w:val="PozadinaSvijetloZelena"/>
          <w:shd w:val="clear" w:color="auto" w:fill="FFFFFF" w:themeFill="background1"/>
        </w:rPr>
        <w:t>,</w:t>
      </w:r>
      <w:r w:rsidRPr="006C43C5" w:rsidR="00170492">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9707A0" w:rsidR="0052689E">
            <w:rPr>
              <w:rStyle w:val="eSPISCCParagraphDefaultFont"/>
            </w:rPr>
            <w:t>Zagreb</w:t>
          </w:r>
        </w:sdtContent>
      </w:sdt>
    </w:p>
    <w:p w:rsidR="0020453E" w:rsidP="004C60ED" w:rsidRDefault="00AD32DA">
      <w:pPr>
        <w:pStyle w:val="HeadereSPIS"/>
        <w:rPr>
          <w:rFonts w:cs="Times New Roman"/>
          <w:noProof/>
        </w:rPr>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xpath="/icms/DomainObject.Predmet.Referada.Oznaka/derivirana_varijabla[@naziv='DomainObject.Predmet.Referada.Oznaka_1']" w:storeItemID="{100293BC-3C9C-4740-99C7-73F5E9006100}"/>
          <w:text/>
        </w:sdtPr>
        <w:sdtEndPr>
          <w:rPr>
            <w:rStyle w:val="eSPISCCParagraphDefaultFont"/>
          </w:rPr>
        </w:sdtEndPr>
        <w:sdtContent>
          <w:r w:rsidRPr="009707A0" w:rsidR="0052689E">
            <w:rPr>
              <w:rStyle w:val="eSPISCCParagraphDefaultFont"/>
            </w:rPr>
            <w:t>67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9707A0" w:rsidR="0052689E">
            <w:rPr>
              <w:rStyle w:val="eSPISCCParagraphDefaultFont"/>
            </w:rPr>
            <w:t>Pž-5438/2019-2</w:t>
          </w:r>
        </w:sdtContent>
      </w:sdt>
    </w:p>
    <w:p w:rsidR="004C60ED" w:rsidP="0052689E" w:rsidRDefault="004C60ED">
      <w:pPr>
        <w:spacing w:after="0"/>
        <w:jc w:val="both"/>
      </w:pPr>
    </w:p>
    <w:p w:rsidR="0052689E" w:rsidP="0052689E" w:rsidRDefault="0052689E">
      <w:pPr>
        <w:spacing w:after="0"/>
        <w:jc w:val="both"/>
      </w:pPr>
    </w:p>
    <w:p w:rsidR="0052689E" w:rsidP="0052689E" w:rsidRDefault="0052689E">
      <w:pPr>
        <w:spacing w:after="0"/>
        <w:jc w:val="both"/>
      </w:pPr>
    </w:p>
    <w:p w:rsidRPr="0052689E" w:rsidR="0052689E" w:rsidP="0052689E" w:rsidRDefault="00BF5264">
      <w:pPr>
        <w:spacing w:after="0"/>
        <w:jc w:val="center"/>
        <w:rPr>
          <w:rFonts w:eastAsia="Times New Roman" w:cs="Times New Roman"/>
          <w:lang w:eastAsia="hr-HR"/>
        </w:rPr>
      </w:pPr>
      <w:r>
        <w:rPr>
          <w:rFonts w:eastAsia="Times New Roman" w:cs="Times New Roman"/>
          <w:bCs/>
          <w:lang w:eastAsia="hr-HR"/>
        </w:rPr>
        <w:t xml:space="preserve">R E P U B L I K A  </w:t>
      </w:r>
      <w:r w:rsidRPr="0052689E" w:rsidR="0052689E">
        <w:rPr>
          <w:rFonts w:eastAsia="Times New Roman" w:cs="Times New Roman"/>
          <w:bCs/>
          <w:lang w:eastAsia="hr-HR"/>
        </w:rPr>
        <w:t xml:space="preserve"> H R V A T S K A</w:t>
      </w: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jc w:val="center"/>
        <w:rPr>
          <w:rFonts w:eastAsia="Times New Roman" w:cs="Times New Roman"/>
          <w:lang w:eastAsia="hr-HR"/>
        </w:rPr>
      </w:pPr>
      <w:r w:rsidRPr="0052689E">
        <w:rPr>
          <w:rFonts w:eastAsia="Times New Roman" w:cs="Times New Roman"/>
          <w:bCs/>
          <w:caps/>
          <w:lang w:eastAsia="hr-HR"/>
        </w:rPr>
        <w:t>R j e š e nj e</w:t>
      </w:r>
    </w:p>
    <w:p w:rsidRPr="0052689E" w:rsidR="0052689E" w:rsidP="0052689E" w:rsidRDefault="0052689E">
      <w:pPr>
        <w:spacing w:after="0"/>
        <w:jc w:val="both"/>
        <w:rPr>
          <w:rFonts w:eastAsia="Times New Roman" w:cs="Times New Roman"/>
          <w:lang w:eastAsia="hr-HR"/>
        </w:rPr>
      </w:pPr>
    </w:p>
    <w:p w:rsidR="0052689E" w:rsidP="0052689E" w:rsidRDefault="0052689E">
      <w:pPr>
        <w:spacing w:after="0"/>
        <w:jc w:val="both"/>
        <w:rPr>
          <w:rFonts w:eastAsia="Times New Roman" w:cs="Times New Roman"/>
          <w:lang w:eastAsia="hr-HR"/>
        </w:rPr>
      </w:pPr>
    </w:p>
    <w:p w:rsidRPr="0052689E" w:rsidR="0052689E" w:rsidP="0052689E" w:rsidRDefault="0052689E">
      <w:pPr>
        <w:spacing w:after="0"/>
        <w:ind w:firstLine="709"/>
        <w:jc w:val="both"/>
        <w:rPr>
          <w:rFonts w:eastAsia="Times New Roman" w:cs="Times New Roman"/>
          <w:lang w:eastAsia="hr-HR"/>
        </w:rPr>
      </w:pPr>
      <w:r w:rsidRPr="0052689E">
        <w:rPr>
          <w:rFonts w:eastAsia="Times New Roman" w:cs="Times New Roman"/>
          <w:lang w:eastAsia="hr-HR"/>
        </w:rPr>
        <w:t>Visoki trgovački sud Republike Hrvatske, u vijeću sastavljenom od sudaca Ivice Omazića, predsjednika vijeća, Davora Pustijanca, suca izvjestitelja i Tatjane Kujundžić Novak, članice vijeća, u predstečajnom postupku nad dužnikom BRODOTROGIR d.d., OIB 02610134628, Trogir, Put brodograditelja 16, odlučujući o dužnikovoj žalbi protiv rješenja Trgovačkog suda u Splitu poslovni broj St-115/2019-22 od 11. srpnja 2019., u sjednici vijeća održanoj 25. rujna 2019.</w:t>
      </w:r>
    </w:p>
    <w:p w:rsidR="0052689E" w:rsidP="0052689E" w:rsidRDefault="0052689E">
      <w:pPr>
        <w:spacing w:after="0"/>
        <w:jc w:val="both"/>
        <w:rPr>
          <w:rFonts w:eastAsia="Times New Roman" w:cs="Times New Roman"/>
          <w:lang w:eastAsia="hr-HR"/>
        </w:rPr>
      </w:pP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jc w:val="center"/>
        <w:rPr>
          <w:rFonts w:eastAsia="Times New Roman" w:cs="Times New Roman"/>
          <w:lang w:eastAsia="hr-HR"/>
        </w:rPr>
      </w:pPr>
      <w:r w:rsidRPr="0052689E">
        <w:rPr>
          <w:rFonts w:eastAsia="Times New Roman" w:cs="Times New Roman"/>
          <w:lang w:eastAsia="hr-HR"/>
        </w:rPr>
        <w:t>r i j e š i o</w:t>
      </w:r>
      <w:r>
        <w:rPr>
          <w:rFonts w:eastAsia="Times New Roman" w:cs="Times New Roman"/>
          <w:lang w:eastAsia="hr-HR"/>
        </w:rPr>
        <w:t xml:space="preserve">  </w:t>
      </w:r>
      <w:r w:rsidRPr="0052689E">
        <w:rPr>
          <w:rFonts w:eastAsia="Times New Roman" w:cs="Times New Roman"/>
          <w:lang w:eastAsia="hr-HR"/>
        </w:rPr>
        <w:t xml:space="preserve"> j e</w:t>
      </w:r>
    </w:p>
    <w:p w:rsidR="0052689E" w:rsidP="0052689E" w:rsidRDefault="0052689E">
      <w:pPr>
        <w:spacing w:after="0"/>
        <w:jc w:val="center"/>
        <w:rPr>
          <w:rFonts w:eastAsia="Times New Roman" w:cs="Times New Roman"/>
          <w:lang w:eastAsia="hr-HR"/>
        </w:rPr>
      </w:pPr>
    </w:p>
    <w:p w:rsidRPr="0052689E" w:rsidR="0052689E" w:rsidP="0052689E" w:rsidRDefault="0052689E">
      <w:pPr>
        <w:spacing w:after="0"/>
        <w:jc w:val="center"/>
        <w:rPr>
          <w:rFonts w:eastAsia="Times New Roman" w:cs="Times New Roman"/>
          <w:lang w:eastAsia="hr-HR"/>
        </w:rPr>
      </w:pPr>
    </w:p>
    <w:p w:rsidRPr="0052689E" w:rsidR="0052689E" w:rsidP="0052689E" w:rsidRDefault="0052689E">
      <w:pPr>
        <w:spacing w:after="0"/>
        <w:jc w:val="both"/>
        <w:rPr>
          <w:rFonts w:eastAsia="Times New Roman" w:cs="Times New Roman"/>
          <w:lang w:eastAsia="hr-HR"/>
        </w:rPr>
      </w:pPr>
      <w:r w:rsidRPr="0052689E">
        <w:rPr>
          <w:rFonts w:eastAsia="Times New Roman" w:cs="Times New Roman"/>
          <w:lang w:eastAsia="hr-HR"/>
        </w:rPr>
        <w:tab/>
        <w:t xml:space="preserve">Odbija se dužnikova žalba kao neosnovana i potvrđuje rješenje Trgovačkog suda u Splitu poslovni broj St-115/2019-22 od 11. srpnja 2019. u dijelu točke I. njegove izreke kojim su utvrđene tražbine vjerovnika 38. Financijska </w:t>
      </w:r>
      <w:r>
        <w:rPr>
          <w:rFonts w:eastAsia="Times New Roman" w:cs="Times New Roman"/>
          <w:lang w:eastAsia="hr-HR"/>
        </w:rPr>
        <w:t>a</w:t>
      </w:r>
      <w:r w:rsidRPr="0052689E">
        <w:rPr>
          <w:rFonts w:eastAsia="Times New Roman" w:cs="Times New Roman"/>
          <w:lang w:eastAsia="hr-HR"/>
        </w:rPr>
        <w:t>gencija i 14</w:t>
      </w:r>
      <w:r w:rsidR="00BF5264">
        <w:rPr>
          <w:rFonts w:eastAsia="Times New Roman" w:cs="Times New Roman"/>
          <w:lang w:eastAsia="hr-HR"/>
        </w:rPr>
        <w:t>4</w:t>
      </w:r>
      <w:r w:rsidRPr="0052689E">
        <w:rPr>
          <w:rFonts w:eastAsia="Times New Roman" w:cs="Times New Roman"/>
          <w:lang w:eastAsia="hr-HR"/>
        </w:rPr>
        <w:t>. Zeleni Servis d.o.o. Split.</w:t>
      </w:r>
    </w:p>
    <w:p w:rsidR="0052689E" w:rsidP="0052689E" w:rsidRDefault="0052689E">
      <w:pPr>
        <w:spacing w:after="0"/>
        <w:jc w:val="both"/>
        <w:rPr>
          <w:rFonts w:eastAsia="Times New Roman" w:cs="Times New Roman"/>
          <w:lang w:eastAsia="hr-HR"/>
        </w:rPr>
      </w:pP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jc w:val="center"/>
        <w:rPr>
          <w:rFonts w:eastAsia="Times New Roman" w:cs="Times New Roman"/>
          <w:lang w:eastAsia="hr-HR"/>
        </w:rPr>
      </w:pPr>
      <w:r w:rsidRPr="0052689E">
        <w:rPr>
          <w:rFonts w:eastAsia="Times New Roman" w:cs="Times New Roman"/>
          <w:lang w:eastAsia="hr-HR"/>
        </w:rPr>
        <w:t>Obrazloženje</w:t>
      </w:r>
    </w:p>
    <w:p w:rsidR="0052689E" w:rsidP="0052689E" w:rsidRDefault="0052689E">
      <w:pPr>
        <w:spacing w:after="0"/>
        <w:jc w:val="both"/>
        <w:rPr>
          <w:rFonts w:eastAsia="Times New Roman" w:cs="Times New Roman"/>
          <w:lang w:eastAsia="hr-HR"/>
        </w:rPr>
      </w:pP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ind w:firstLine="720"/>
        <w:jc w:val="both"/>
        <w:rPr>
          <w:rFonts w:eastAsia="Times New Roman" w:cs="Times New Roman"/>
          <w:lang w:eastAsia="hr-HR"/>
        </w:rPr>
      </w:pPr>
      <w:r w:rsidRPr="0052689E">
        <w:rPr>
          <w:rFonts w:eastAsia="Times New Roman" w:cs="Times New Roman"/>
          <w:lang w:eastAsia="hr-HR"/>
        </w:rPr>
        <w:t xml:space="preserve">Rješenjem Trgovačkog suda u Splitu poslovni broj St-115/2019-22 od 11. srpnja 2019. utvrđene su tražbine ukupno 145 vjerovnika (točka I. izreke), osporene su tražbine ukupno pet vjerovnika (točka II. izreke), vjerovnici iz točke II. izreke upućene su pokrenuti parnicu protiv stečajnog dužnika (točka III. izreke), odbačene su prijave tražbina ukupno pet vjerovnika (točka IV. izreke), određeno je da se to rješenje dostavlja dužniku i svim vjerovnicima iz točke I. izreke i to objavom na mrežnoj stranici e-Oglasne ploče sudova (točka V. izreke). Rješenjem Trgovačkog suda u Splitu poslovni broj St-115/119-30 od 26. kolovoza 2019. ispravljeno je rješenje o utvrđenim i osporenim tražbinama u odnosu na vjerovnike 23. Crodux </w:t>
      </w:r>
      <w:r>
        <w:rPr>
          <w:rFonts w:eastAsia="Times New Roman" w:cs="Times New Roman"/>
          <w:lang w:eastAsia="hr-HR"/>
        </w:rPr>
        <w:t>p</w:t>
      </w:r>
      <w:r w:rsidRPr="0052689E">
        <w:rPr>
          <w:rFonts w:eastAsia="Times New Roman" w:cs="Times New Roman"/>
          <w:lang w:eastAsia="hr-HR"/>
        </w:rPr>
        <w:t>lin d.o.o. Zagreb, 64. In-Viso d.o.o. Rijeka i 141. Zagrebačka banka d.d. Zagreb.</w:t>
      </w:r>
    </w:p>
    <w:p w:rsidRPr="0052689E" w:rsidR="0052689E" w:rsidP="0052689E" w:rsidRDefault="0052689E">
      <w:pPr>
        <w:spacing w:after="0"/>
        <w:ind w:firstLine="720"/>
        <w:jc w:val="both"/>
        <w:rPr>
          <w:rFonts w:eastAsia="Times New Roman" w:cs="Times New Roman"/>
          <w:lang w:eastAsia="hr-HR"/>
        </w:rPr>
      </w:pPr>
    </w:p>
    <w:p w:rsidRPr="0052689E" w:rsidR="0052689E" w:rsidP="0052689E" w:rsidRDefault="0052689E">
      <w:pPr>
        <w:spacing w:after="0"/>
        <w:ind w:firstLine="720"/>
        <w:jc w:val="both"/>
        <w:rPr>
          <w:rFonts w:eastAsia="Times New Roman" w:cs="Times New Roman"/>
          <w:lang w:eastAsia="hr-HR"/>
        </w:rPr>
      </w:pPr>
      <w:r w:rsidRPr="0052689E">
        <w:rPr>
          <w:rFonts w:eastAsia="Times New Roman" w:cs="Times New Roman"/>
          <w:lang w:eastAsia="hr-HR"/>
        </w:rPr>
        <w:t xml:space="preserve">Protiv tog rješenja u dijelu točke I. izreke kojim su priznate tražbine vjerovnika 38. Financijska agencija i 144. Zeleni </w:t>
      </w:r>
      <w:r>
        <w:rPr>
          <w:rFonts w:eastAsia="Times New Roman" w:cs="Times New Roman"/>
          <w:lang w:eastAsia="hr-HR"/>
        </w:rPr>
        <w:t>s</w:t>
      </w:r>
      <w:r w:rsidRPr="0052689E">
        <w:rPr>
          <w:rFonts w:eastAsia="Times New Roman" w:cs="Times New Roman"/>
          <w:lang w:eastAsia="hr-HR"/>
        </w:rPr>
        <w:t xml:space="preserve">ervis d.o.o. Split, žalbu je podnio dužnik ne navodeći izričito zbog kojih razloga, a iz sadržaja žalbe proizlazi da ga pobija zbog pogrešno i nepotpuno utvrđenog činjeničnog stanja. Predlaže da ovaj sud uvaži žalbu i preinači pobijano </w:t>
      </w:r>
      <w:r w:rsidRPr="0052689E">
        <w:rPr>
          <w:rFonts w:eastAsia="Times New Roman" w:cs="Times New Roman"/>
          <w:lang w:eastAsia="hr-HR"/>
        </w:rPr>
        <w:lastRenderedPageBreak/>
        <w:t xml:space="preserve">rješenje, odnosno da rješenje ukine i predmet vrati prvostupanjskom sudu na ponovan postupak. </w:t>
      </w: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ind w:firstLine="709"/>
        <w:jc w:val="both"/>
        <w:rPr>
          <w:rFonts w:eastAsia="Times New Roman" w:cs="Times New Roman"/>
          <w:lang w:eastAsia="hr-HR"/>
        </w:rPr>
      </w:pPr>
      <w:r w:rsidRPr="0052689E">
        <w:rPr>
          <w:rFonts w:eastAsia="Times New Roman" w:cs="Times New Roman"/>
          <w:lang w:eastAsia="hr-HR"/>
        </w:rPr>
        <w:t>Žalba nije osnovana.</w:t>
      </w: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ind w:firstLine="709"/>
        <w:jc w:val="both"/>
        <w:rPr>
          <w:rFonts w:eastAsia="Times New Roman" w:cs="Times New Roman"/>
          <w:lang w:eastAsia="hr-HR"/>
        </w:rPr>
      </w:pPr>
      <w:r w:rsidRPr="0052689E">
        <w:rPr>
          <w:rFonts w:eastAsia="Times New Roman" w:cs="Times New Roman"/>
          <w:lang w:eastAsia="hr-HR"/>
        </w:rPr>
        <w:t>Ispitavši pobijano rješenje na temelju odredbe članka 365. stav</w:t>
      </w:r>
      <w:r>
        <w:rPr>
          <w:rFonts w:eastAsia="Times New Roman" w:cs="Times New Roman"/>
          <w:lang w:eastAsia="hr-HR"/>
        </w:rPr>
        <w:t>a</w:t>
      </w:r>
      <w:r w:rsidRPr="0052689E">
        <w:rPr>
          <w:rFonts w:eastAsia="Times New Roman" w:cs="Times New Roman"/>
          <w:lang w:eastAsia="hr-HR"/>
        </w:rPr>
        <w:t>ka 1. i 2. i članka 381. Zakona o parničnom postupku („Narodne novine“, broj</w:t>
      </w:r>
      <w:r>
        <w:rPr>
          <w:rFonts w:eastAsia="Times New Roman" w:cs="Times New Roman"/>
          <w:lang w:eastAsia="hr-HR"/>
        </w:rPr>
        <w:t>:</w:t>
      </w:r>
      <w:r w:rsidRPr="0052689E">
        <w:rPr>
          <w:rFonts w:eastAsia="Times New Roman" w:cs="Times New Roman"/>
          <w:lang w:eastAsia="hr-HR"/>
        </w:rPr>
        <w:t xml:space="preserve"> 148/11</w:t>
      </w:r>
      <w:r>
        <w:rPr>
          <w:rFonts w:eastAsia="Times New Roman" w:cs="Times New Roman"/>
          <w:lang w:eastAsia="hr-HR"/>
        </w:rPr>
        <w:t>-</w:t>
      </w:r>
      <w:r w:rsidRPr="0052689E">
        <w:rPr>
          <w:rFonts w:eastAsia="Times New Roman" w:cs="Times New Roman"/>
          <w:lang w:eastAsia="hr-HR"/>
        </w:rPr>
        <w:t>pročišćeni tekst, 25/13 i 70/19) u vezi s člankom 10. Stečajnog zakona („Narodne novine“ broj 71/15 i 104/17) u granicama razloga navedenih u žalbi, pazeći po službenoj dužnosti na bitne povrede odredaba postupka iz članka 354. stavk</w:t>
      </w:r>
      <w:r>
        <w:rPr>
          <w:rFonts w:eastAsia="Times New Roman" w:cs="Times New Roman"/>
          <w:lang w:eastAsia="hr-HR"/>
        </w:rPr>
        <w:t>a</w:t>
      </w:r>
      <w:r w:rsidRPr="0052689E">
        <w:rPr>
          <w:rFonts w:eastAsia="Times New Roman" w:cs="Times New Roman"/>
          <w:lang w:eastAsia="hr-HR"/>
        </w:rPr>
        <w:t xml:space="preserve"> 2. toč</w:t>
      </w:r>
      <w:r>
        <w:rPr>
          <w:rFonts w:eastAsia="Times New Roman" w:cs="Times New Roman"/>
          <w:lang w:eastAsia="hr-HR"/>
        </w:rPr>
        <w:t>a</w:t>
      </w:r>
      <w:r w:rsidRPr="0052689E">
        <w:rPr>
          <w:rFonts w:eastAsia="Times New Roman" w:cs="Times New Roman"/>
          <w:lang w:eastAsia="hr-HR"/>
        </w:rPr>
        <w:t>ka 2., 4., 8., 9., 11., 13. i 14. Zakona o parničnom postupku i na pravilnu primjenu materijalnog prava, ovaj sud je utvrdio da je pobijano rješenje pravilno i zakonito.</w:t>
      </w: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ind w:firstLine="720"/>
        <w:jc w:val="both"/>
        <w:rPr>
          <w:rFonts w:eastAsia="Times New Roman" w:cs="Times New Roman"/>
          <w:lang w:eastAsia="hr-HR"/>
        </w:rPr>
      </w:pPr>
      <w:r w:rsidRPr="0052689E">
        <w:rPr>
          <w:rFonts w:eastAsia="Times New Roman" w:cs="Times New Roman"/>
          <w:lang w:eastAsia="hr-HR"/>
        </w:rPr>
        <w:t>Pobijanim rješenjem prvostupanjski sud je na temelju tablice prijavljenih tražbina donio pobijano rješenje o utvrđenim i osporenim tražbinama.</w:t>
      </w:r>
    </w:p>
    <w:p w:rsidRPr="0052689E" w:rsidR="0052689E" w:rsidP="0052689E" w:rsidRDefault="0052689E">
      <w:pPr>
        <w:spacing w:after="0"/>
        <w:ind w:firstLine="720"/>
        <w:jc w:val="both"/>
        <w:rPr>
          <w:rFonts w:eastAsia="Times New Roman" w:cs="Times New Roman"/>
          <w:lang w:eastAsia="hr-HR"/>
        </w:rPr>
      </w:pPr>
    </w:p>
    <w:p w:rsidRPr="0052689E" w:rsidR="0052689E" w:rsidP="0052689E" w:rsidRDefault="0052689E">
      <w:pPr>
        <w:spacing w:after="0"/>
        <w:ind w:firstLine="720"/>
        <w:jc w:val="both"/>
        <w:rPr>
          <w:rFonts w:eastAsia="Times New Roman" w:cs="Times New Roman"/>
          <w:lang w:eastAsia="hr-HR"/>
        </w:rPr>
      </w:pPr>
      <w:r w:rsidRPr="0052689E">
        <w:rPr>
          <w:rFonts w:eastAsia="Times New Roman" w:cs="Times New Roman"/>
          <w:lang w:eastAsia="hr-HR"/>
        </w:rPr>
        <w:t xml:space="preserve">Dužnik u žalbi u odnosu na tražbine društva Crodux </w:t>
      </w:r>
      <w:r>
        <w:rPr>
          <w:rFonts w:eastAsia="Times New Roman" w:cs="Times New Roman"/>
          <w:lang w:eastAsia="hr-HR"/>
        </w:rPr>
        <w:t>p</w:t>
      </w:r>
      <w:r w:rsidRPr="0052689E">
        <w:rPr>
          <w:rFonts w:eastAsia="Times New Roman" w:cs="Times New Roman"/>
          <w:lang w:eastAsia="hr-HR"/>
        </w:rPr>
        <w:t>lin d.o.o. Zagreb, In-Viso d.o.o. Rijeka i Zagrebačka banka d.d. Zagreb navodi kako je došlo do očite pogreške u pisanju, pa u tom dijelu žalba predstavlja prijedlog za ispravak rješenja (članak 342. stavak 1. Zakona o parničnom postupku u vezi s člankom 10. Stečajnog zakona) na temelju kojeg prijedloga je prvostupanjski sud predmetno rješenje i ispravio</w:t>
      </w:r>
      <w:r w:rsidR="00BF5264">
        <w:rPr>
          <w:rFonts w:eastAsia="Times New Roman" w:cs="Times New Roman"/>
          <w:lang w:eastAsia="hr-HR"/>
        </w:rPr>
        <w:t>,</w:t>
      </w:r>
      <w:r w:rsidRPr="0052689E">
        <w:rPr>
          <w:rFonts w:eastAsia="Times New Roman" w:cs="Times New Roman"/>
          <w:lang w:eastAsia="hr-HR"/>
        </w:rPr>
        <w:t xml:space="preserve"> rješenjem o ispravku poslovni broj </w:t>
      </w:r>
      <w:r>
        <w:rPr>
          <w:rFonts w:eastAsia="Times New Roman" w:cs="Times New Roman"/>
          <w:lang w:eastAsia="hr-HR"/>
        </w:rPr>
        <w:br/>
      </w:r>
      <w:r w:rsidRPr="0052689E">
        <w:rPr>
          <w:rFonts w:eastAsia="Times New Roman" w:cs="Times New Roman"/>
          <w:lang w:eastAsia="hr-HR"/>
        </w:rPr>
        <w:t xml:space="preserve">St-115/119-30 od 26. kolovoza 2019. </w:t>
      </w:r>
    </w:p>
    <w:p w:rsidRPr="0052689E" w:rsidR="0052689E" w:rsidP="0052689E" w:rsidRDefault="0052689E">
      <w:pPr>
        <w:spacing w:after="0"/>
        <w:ind w:firstLine="720"/>
        <w:jc w:val="both"/>
        <w:rPr>
          <w:rFonts w:eastAsia="Times New Roman" w:cs="Times New Roman"/>
          <w:lang w:eastAsia="hr-HR"/>
        </w:rPr>
      </w:pPr>
    </w:p>
    <w:p w:rsidRPr="0052689E" w:rsidR="0052689E" w:rsidP="0052689E" w:rsidRDefault="0052689E">
      <w:pPr>
        <w:spacing w:after="0"/>
        <w:ind w:firstLine="720"/>
        <w:jc w:val="both"/>
        <w:rPr>
          <w:rFonts w:eastAsia="Times New Roman" w:cs="Times New Roman"/>
          <w:lang w:eastAsia="hr-HR"/>
        </w:rPr>
      </w:pPr>
      <w:r w:rsidRPr="0052689E">
        <w:rPr>
          <w:rFonts w:eastAsia="Times New Roman" w:cs="Times New Roman"/>
          <w:lang w:eastAsia="hr-HR"/>
        </w:rPr>
        <w:t>U odnosu na prijavljenu tražbinu FIN</w:t>
      </w:r>
      <w:r>
        <w:rPr>
          <w:rFonts w:eastAsia="Times New Roman" w:cs="Times New Roman"/>
          <w:lang w:eastAsia="hr-HR"/>
        </w:rPr>
        <w:t>A-e</w:t>
      </w:r>
      <w:r w:rsidRPr="0052689E">
        <w:rPr>
          <w:rFonts w:eastAsia="Times New Roman" w:cs="Times New Roman"/>
          <w:lang w:eastAsia="hr-HR"/>
        </w:rPr>
        <w:t xml:space="preserve"> dužnik navodi kako je svoju tražbinu FINA naplatila prisilno, ali dužnik to nije istaknuo na ročištu za ispitivanje tražbine jer u tom trenutku predmetne uplate još nisu bile proknjižene u dužnikovom knjigovodstvu. Rješenje o utvrđenim tražbinama dužnik pobija i u odnosu na tražbinu društva Zeleni </w:t>
      </w:r>
      <w:r>
        <w:rPr>
          <w:rFonts w:eastAsia="Times New Roman" w:cs="Times New Roman"/>
          <w:lang w:eastAsia="hr-HR"/>
        </w:rPr>
        <w:t>s</w:t>
      </w:r>
      <w:r w:rsidRPr="0052689E">
        <w:rPr>
          <w:rFonts w:eastAsia="Times New Roman" w:cs="Times New Roman"/>
          <w:lang w:eastAsia="hr-HR"/>
        </w:rPr>
        <w:t>ervis d.o.o. Split navodeći kako je nakon ročišta održanog radi utvrđivanja i osporavanja tražbina taj vjerovnik 22. srpnja 2019. otpustio dug prema tuženiku</w:t>
      </w:r>
      <w:r w:rsidR="00BF5264">
        <w:rPr>
          <w:rFonts w:eastAsia="Times New Roman" w:cs="Times New Roman"/>
          <w:lang w:eastAsia="hr-HR"/>
        </w:rPr>
        <w:t>,</w:t>
      </w:r>
      <w:r w:rsidRPr="0052689E">
        <w:rPr>
          <w:rFonts w:eastAsia="Times New Roman" w:cs="Times New Roman"/>
          <w:lang w:eastAsia="hr-HR"/>
        </w:rPr>
        <w:t xml:space="preserve"> o čemu uz žalbu privija i dopis tog društva o otpisu potraživanja. </w:t>
      </w:r>
    </w:p>
    <w:p w:rsidRPr="0052689E" w:rsidR="0052689E" w:rsidP="0052689E" w:rsidRDefault="0052689E">
      <w:pPr>
        <w:spacing w:after="0"/>
        <w:ind w:firstLine="720"/>
        <w:jc w:val="both"/>
        <w:rPr>
          <w:rFonts w:eastAsia="Times New Roman" w:cs="Times New Roman"/>
          <w:lang w:eastAsia="hr-HR"/>
        </w:rPr>
      </w:pPr>
    </w:p>
    <w:p w:rsidRPr="0052689E" w:rsidR="0052689E" w:rsidP="0052689E" w:rsidRDefault="0052689E">
      <w:pPr>
        <w:spacing w:after="0"/>
        <w:jc w:val="both"/>
        <w:rPr>
          <w:rFonts w:eastAsia="Times New Roman" w:cs="Times New Roman"/>
          <w:lang w:eastAsia="hr-HR"/>
        </w:rPr>
      </w:pPr>
      <w:r w:rsidRPr="0052689E">
        <w:rPr>
          <w:rFonts w:ascii="Arial" w:hAnsi="Arial" w:eastAsia="Times New Roman" w:cs="Times New Roman"/>
          <w:szCs w:val="20"/>
          <w:lang w:eastAsia="hr-HR"/>
        </w:rPr>
        <w:tab/>
      </w:r>
      <w:r w:rsidRPr="0052689E">
        <w:rPr>
          <w:rFonts w:eastAsia="Times New Roman" w:cs="Times New Roman"/>
          <w:lang w:eastAsia="hr-HR"/>
        </w:rPr>
        <w:t xml:space="preserve">U žalbi se ne mogu iznositi nove činjenice ni predlagati novi dokazi osim ako se oni odnose na bitne povrede odredaba postupka zbog kojih se žalba može izjaviti (članak 352. stavak 1. Zakona o parničnom postupku u vezi s člankom 10. Stečajnog zakona). Zbog toga ovaj sud nije uzeo u razmatranje činjenicu da je vjerovnik naplatio tražbinu, odnosno da je došlo do otpusta duga koje je dužnik prvi put iznio u žalbenom postupku. Naime, te činjenice su istaknute radi osporavanja pravilnosti zaključka prvostupanjskog suda o utvrđenim tražbinama, ali ne i radi utvrđenja bitne povrede postupovnih pravila. </w:t>
      </w: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ind w:firstLine="720"/>
        <w:jc w:val="both"/>
        <w:rPr>
          <w:rFonts w:eastAsia="Times New Roman" w:cs="Times New Roman"/>
          <w:lang w:eastAsia="hr-HR"/>
        </w:rPr>
      </w:pPr>
      <w:r w:rsidRPr="0052689E">
        <w:rPr>
          <w:rFonts w:eastAsia="Times New Roman" w:cs="Times New Roman"/>
          <w:lang w:eastAsia="hr-HR"/>
        </w:rPr>
        <w:t>Drugostupanjski je sud u žalbenom postupku dužan ispitati je li prvostupanjski sud donio pravilno i zakonito rješenje u skladu s činjenicama koje su postojale i koje su utvrđene u vrijeme donošenja rješenja. Činjenice koje su se dogodile naknadno nisu relevantne i nisu obuhvaćene vremenskim granicama pravomoćnosti pobijanog rješenja te ne mogu imati utjecaj na pravilnost pobijanog rješenja, nego mogu biti eventualno relevantne prilikom (dobrovoljnog ili prisilnog) ispunjenja tražbine.</w:t>
      </w:r>
    </w:p>
    <w:p w:rsidR="0052689E" w:rsidP="0052689E" w:rsidRDefault="0052689E">
      <w:pPr>
        <w:spacing w:after="0"/>
        <w:ind w:firstLine="720"/>
        <w:jc w:val="both"/>
        <w:rPr>
          <w:rFonts w:eastAsia="Times New Roman" w:cs="Times New Roman"/>
          <w:lang w:eastAsia="hr-HR"/>
        </w:rPr>
      </w:pPr>
    </w:p>
    <w:p w:rsidRPr="0052689E" w:rsidR="00BF5264" w:rsidP="0052689E" w:rsidRDefault="00BF5264">
      <w:pPr>
        <w:spacing w:after="0"/>
        <w:ind w:firstLine="720"/>
        <w:jc w:val="both"/>
        <w:rPr>
          <w:rFonts w:eastAsia="Times New Roman" w:cs="Times New Roman"/>
          <w:lang w:eastAsia="hr-HR"/>
        </w:rPr>
      </w:pPr>
    </w:p>
    <w:p w:rsidRPr="0052689E" w:rsidR="0052689E" w:rsidP="0052689E" w:rsidRDefault="0052689E">
      <w:pPr>
        <w:spacing w:after="0"/>
        <w:ind w:firstLine="709"/>
        <w:jc w:val="both"/>
        <w:rPr>
          <w:rFonts w:eastAsia="Times New Roman" w:cs="Times New Roman"/>
          <w:lang w:eastAsia="hr-HR"/>
        </w:rPr>
      </w:pPr>
      <w:r w:rsidRPr="0052689E">
        <w:rPr>
          <w:rFonts w:eastAsia="Times New Roman" w:cs="Times New Roman"/>
          <w:lang w:eastAsia="hr-HR"/>
        </w:rPr>
        <w:t>Slijedom svega iznesenog, žaliteljevi žalbeni navodi ne dovode u sumnju pravilnost i zakonitost prvostupanjskog rješenja, pa je valjalo odlučiti kao u izreci primjenom odredbe članka 380. točke 2. Zakona o parničnom postupku u vezi s odredbom članka 10. Stečajnog zakona.</w:t>
      </w:r>
    </w:p>
    <w:p w:rsidRPr="0052689E" w:rsidR="0052689E" w:rsidP="0052689E" w:rsidRDefault="0052689E">
      <w:pPr>
        <w:spacing w:after="0"/>
        <w:jc w:val="both"/>
        <w:rPr>
          <w:rFonts w:eastAsia="Times New Roman" w:cs="Times New Roman"/>
          <w:lang w:eastAsia="hr-HR"/>
        </w:rPr>
      </w:pPr>
    </w:p>
    <w:p w:rsidRPr="0052689E" w:rsidR="0052689E" w:rsidP="0052689E" w:rsidRDefault="0052689E">
      <w:pPr>
        <w:spacing w:after="0"/>
        <w:jc w:val="center"/>
        <w:rPr>
          <w:rFonts w:eastAsia="Times New Roman" w:cs="Times New Roman"/>
          <w:lang w:eastAsia="hr-HR"/>
        </w:rPr>
      </w:pPr>
      <w:r w:rsidRPr="0052689E">
        <w:rPr>
          <w:rFonts w:eastAsia="Times New Roman" w:cs="Times New Roman"/>
          <w:lang w:eastAsia="hr-HR"/>
        </w:rPr>
        <w:t>Zagreb, 25. rujna 2019.</w:t>
      </w:r>
    </w:p>
    <w:p w:rsidR="0052689E" w:rsidP="0052689E" w:rsidRDefault="0052689E">
      <w:pPr>
        <w:spacing w:after="0"/>
        <w:jc w:val="center"/>
        <w:rPr>
          <w:rFonts w:eastAsia="Times New Roman" w:cs="Times New Roman"/>
          <w:lang w:eastAsia="hr-HR"/>
        </w:rPr>
      </w:pPr>
    </w:p>
    <w:p w:rsidRPr="00AE4971" w:rsidR="00BF5264" w:rsidP="00A32406" w:rsidRDefault="00BF5264">
      <w:pPr>
        <w:pStyle w:val="Bezproreda"/>
        <w:ind w:left="4536"/>
        <w:jc w:val="center"/>
      </w:pPr>
      <w:r>
        <w:t>Predsjednik vijeća</w:t>
      </w:r>
    </w:p>
    <w:p w:rsidR="00BF5264" w:rsidP="00A22BEA" w:rsidRDefault="00BF5264">
      <w:pPr>
        <w:pStyle w:val="Bezproreda"/>
        <w:ind w:left="4536"/>
        <w:jc w:val="center"/>
      </w:pPr>
      <w:r w:rsidRPr="0052689E">
        <w:t>Ivica Omazić</w:t>
      </w:r>
      <w:r>
        <w:t>, v. r.</w:t>
      </w:r>
    </w:p>
    <w:p w:rsidR="00BF5264" w:rsidP="00A22BEA" w:rsidRDefault="00BF5264">
      <w:pPr>
        <w:pStyle w:val="Bezproreda"/>
        <w:ind w:left="4536"/>
        <w:jc w:val="center"/>
      </w:pPr>
    </w:p>
    <w:p w:rsidR="00BF5264" w:rsidP="003714FE" w:rsidRDefault="00BF5264">
      <w:pPr>
        <w:pStyle w:val="Bezproreda"/>
        <w:ind w:firstLine="4536"/>
        <w:jc w:val="center"/>
      </w:pPr>
      <w:r>
        <w:t>Za točnost otpravka – ovlašteni službenik</w:t>
      </w:r>
    </w:p>
    <w:p w:rsidRPr="00AE4971" w:rsidR="00BF5264" w:rsidP="003714FE" w:rsidRDefault="00BF5264">
      <w:pPr>
        <w:pStyle w:val="Bezproreda"/>
        <w:ind w:firstLine="4536"/>
        <w:jc w:val="center"/>
      </w:pPr>
      <w:r>
        <w:t>Brankica Curman</w:t>
      </w:r>
    </w:p>
    <w:sectPr w:rsidRPr="00AE4971" w:rsidR="00BF5264" w:rsidSect="003717A6">
      <w:headerReference w:type="default" r:id="rId11"/>
      <w:footerReference w:type="default" r:id="rId12"/>
      <w:pgSz w:w="11907" w:h="16839" w:code="9"/>
      <w:pgMar w:top="1418" w:right="1418" w:bottom="1080" w:left="1418" w:header="1436" w:footer="719" w:gutter="0"/>
      <w:cols w:space="720"/>
      <w:titlePg/>
      <w:docGrid w:linePitch="326"/>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C518D4" w:rsidP="00537B78" w:rsidRDefault="00C518D4">
      <w:r>
        <w:separator/>
      </w:r>
    </w:p>
  </w:endnote>
  <w:endnote w:type="continuationSeparator" w:id="0">
    <w:p w:rsidR="00C518D4" w:rsidP="00537B78" w:rsidRDefault="00C518D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170492" w:rsidRDefault="006C43C5">
    <w:pPr>
      <w:pStyle w:val="Stranica"/>
      <w:jc w:val="left"/>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C518D4" w:rsidP="00537B78" w:rsidRDefault="00C518D4">
      <w:r>
        <w:separator/>
      </w:r>
    </w:p>
  </w:footnote>
  <w:footnote w:type="continuationSeparator" w:id="0">
    <w:p w:rsidR="00C518D4" w:rsidP="00537B78" w:rsidRDefault="00C518D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00170492" w:rsidP="004C60ED" w:rsidRDefault="00170492">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w:t>
        </w:r>
        <w:r w:rsidR="006805A7">
          <w:rPr>
            <w:rStyle w:val="PozadinaSvijetloCrvena"/>
            <w:shd w:val="clear" w:color="auto" w:fill="auto"/>
          </w:rPr>
          <w:t xml:space="preserve"> </w:t>
        </w:r>
        <w:sdt>
          <w:sdtPr>
            <w:rPr>
              <w:rStyle w:val="eSPISCCParagraphDefaultFont"/>
            </w:rPr>
            <w:alias w:val="Oznaka referade"/>
            <w:tag w:val="DomainObject.Predmet.Referada.Oznaka_1"/>
            <w:id w:val="-1627689717"/>
            <w:dataBinding w:xpath="/icms/DomainObject.Predmet.Referada.Oznaka/derivirana_varijabla[@naziv='DomainObject.Predmet.Referada.Oznaka_1']" w:storeItemID="{100293BC-3C9C-4740-99C7-73F5E9006100}"/>
            <w:text/>
          </w:sdtPr>
          <w:sdtEndPr>
            <w:rPr>
              <w:rStyle w:val="eSPISCCParagraphDefaultFont"/>
            </w:rPr>
          </w:sdtEndPr>
          <w:sdtContent>
            <w:r w:rsidRPr="009707A0" w:rsidR="0052689E">
              <w:rPr>
                <w:rStyle w:val="eSPISCCParagraphDefaultFont"/>
              </w:rPr>
              <w:t>67</w:t>
            </w:r>
          </w:sdtContent>
        </w:sdt>
        <w:r>
          <w:rPr>
            <w:rStyle w:val="PozadinaSvijetloCrvena"/>
            <w:shd w:val="clear" w:color="auto" w:fill="auto"/>
          </w:rPr>
          <w:t xml:space="preserve"> </w:t>
        </w:r>
        <w:sdt>
          <w:sdtPr>
            <w:rPr>
              <w:rStyle w:val="eSPISCCParagraphDefaultFont"/>
            </w:rPr>
            <w:alias w:val="Poslovni broj dokumenta"/>
            <w:tag w:val="DomainObject.PoslovniBrojDokumenta"/>
            <w:id w:val="-1809619816"/>
            <w:dataBinding w:xpath="/icms/DomainObject.PoslovniBrojDokumenta/derivirana_varijabla[@naziv='DomainObject.PoslovniBrojDokumenta_1']" w:storeItemID="{100293BC-3C9C-4740-99C7-73F5E9006100}"/>
            <w:text/>
          </w:sdtPr>
          <w:sdtEndPr>
            <w:rPr>
              <w:rStyle w:val="eSPISCCParagraphDefaultFont"/>
            </w:rPr>
          </w:sdtEndPr>
          <w:sdtContent>
            <w:r w:rsidRPr="009707A0" w:rsidR="0052689E">
              <w:rPr>
                <w:rStyle w:val="eSPISCCParagraphDefaultFont"/>
              </w:rPr>
              <w:t>Pž-5438/2019-2</w:t>
            </w:r>
          </w:sdtContent>
        </w:sdt>
      </w:p>
      <w:p w:rsidR="00170492" w:rsidP="00170492" w:rsidRDefault="00170492">
        <w:pPr>
          <w:pStyle w:val="Zaglavlje"/>
          <w:spacing w:after="0"/>
          <w:jc w:val="center"/>
        </w:pPr>
        <w:r>
          <w:fldChar w:fldCharType="begin"/>
        </w:r>
        <w:r>
          <w:instrText>PAGE   \* MERGEFORMAT</w:instrText>
        </w:r>
        <w:r>
          <w:fldChar w:fldCharType="separate"/>
        </w:r>
        <w:r w:rsidR="009707A0">
          <w:t>2</w:t>
        </w:r>
        <w:r>
          <w:fldChar w:fldCharType="end"/>
        </w:r>
        <w:r w:rsidR="0022360E">
          <w:br/>
        </w:r>
      </w:p>
    </w:sdtContent>
  </w:sdt>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5">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7">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29">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2">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3">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5">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6">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7">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dit="readOnly" w:enforcement="false"/>
  <w:defaultTabStop w:val="709"/>
  <w:hyphenationZone w:val="425"/>
  <w:doNotHyphenateCaps/>
  <w:characterSpacingControl w:val="doNotCompress"/>
  <w:savePreviewPicture/>
  <w:hdrShapeDefaults>
    <o:shapedefaults spidmax="8193" v:ext="edit"/>
  </w:hdrShapeDefaults>
  <w:footnotePr>
    <w:footnote w:id="-1"/>
    <w:footnote w:id="0"/>
  </w:footnotePr>
  <w:endnotePr>
    <w:endnote w:id="-1"/>
    <w:endnote w:id="0"/>
  </w:endnotePr>
  <w:compat>
    <w:layoutTableRowsApart/>
    <w:growAutofit/>
    <w:compatSetting w:name="compatibilityMode" w:uri="http://schemas.microsoft.com/office/word" w:val="14"/>
  </w:compat>
  <w:docVars>
    <w:docVar w:name="StartDate" w:val="15. srpanj 2013."/>
    <w:docVar w:name="StartDateISO" w:val="2013-07-15"/>
    <w:docVar w:name="StartTime" w:val="06:46:23"/>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2689E"/>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7A0"/>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5264"/>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819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0" w:qFormat="true"/>
    <w:lsdException w:name="heading 6" w:uiPriority="0" w:qFormat="true"/>
    <w:lsdException w:name="heading 7" w:uiPriority="0" w:qFormat="true"/>
    <w:lsdException w:name="heading 8" w:uiPriority="0" w:qFormat="true"/>
    <w:lsdException w:name="heading 9" w:uiPriority="0" w:qFormat="true"/>
    <w:lsdException w:name="List" w:uiPriority="0" w:qFormat="true"/>
    <w:lsdException w:name="List Bullet" w:uiPriority="0" w:qFormat="true"/>
    <w:lsdException w:name="List Number" w:uiPriority="0" w:qFormat="true"/>
    <w:lsdException w:name="List 2" w:uiPriority="0"/>
    <w:lsdException w:name="List 3" w:uiPriority="0"/>
    <w:lsdException w:name="List 4" w:uiPriority="0"/>
    <w:lsdException w:name="List 5" w:uiPriority="0"/>
    <w:lsdException w:name="List Bullet 2" w:uiPriority="0" w:qFormat="true"/>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semiHidden="false" w:unhideWhenUsed="false" w:qFormat="true"/>
    <w:lsdException w:name="Default Paragraph Font" w:uiPriority="1"/>
    <w:lsdException w:name="List Continue" w:uiPriority="0" w:qFormat="true"/>
    <w:lsdException w:name="List Continue 2" w:uiPriority="0" w:qFormat="true"/>
    <w:lsdException w:name="List Continue 3" w:uiPriority="0"/>
    <w:lsdException w:name="List Continue 4" w:uiPriority="0"/>
    <w:lsdException w:name="List Continue 5" w:uiPriority="0"/>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Normal (Web)" w:uiPriority="0"/>
    <w:lsdException w:name="Table Grid" w:uiPriority="59" w:semiHidden="false" w:unhideWhenUsed="false"/>
    <w:lsdException w:name="No Spacing" w:uiPriority="1" w:qFormat="true"/>
    <w:lsdException w:name="Light Shading" w:semiHidden="false" w:unhideWhenUsed="false"/>
    <w:lsdException w:name="Light List" w:semiHidden="false" w:unhideWhenUsed="false"/>
    <w:lsdException w:name="Light Grid" w:semiHidden="false" w:unhideWhenUsed="false"/>
    <w:lsdException w:name="Medium Shading 1" w:semiHidden="false" w:unhideWhenUsed="false"/>
    <w:lsdException w:name="Medium Shading 2" w:semiHidden="false" w:unhideWhenUsed="false"/>
    <w:lsdException w:name="Medium List 1" w:semiHidden="false" w:unhideWhenUsed="false"/>
    <w:lsdException w:name="Medium List 2" w:semiHidden="false" w:unhideWhenUsed="false"/>
    <w:lsdException w:name="Medium Grid 1" w:semiHidden="false" w:unhideWhenUsed="false"/>
    <w:lsdException w:name="Medium Grid 2" w:semiHidden="false" w:unhideWhenUsed="false"/>
    <w:lsdException w:name="Medium Grid 3" w:semiHidden="false" w:unhideWhenUsed="false"/>
    <w:lsdException w:name="Dark List" w:semiHidden="false" w:unhideWhenUsed="false"/>
    <w:lsdException w:name="Colorful Shading" w:semiHidden="false" w:unhideWhenUsed="false"/>
    <w:lsdException w:name="Colorful List" w:semiHidden="false" w:unhideWhenUsed="false"/>
    <w:lsdException w:name="Colorful Grid" w:semiHidden="false" w:unhideWhenUsed="false"/>
    <w:lsdException w:name="Light Shading Accent 1" w:semiHidden="false" w:unhideWhenUsed="false"/>
    <w:lsdException w:name="Light List Accent 1" w:semiHidden="false" w:unhideWhenUsed="false"/>
    <w:lsdException w:name="Light Grid Accent 1" w:semiHidden="false" w:unhideWhenUsed="false"/>
    <w:lsdException w:name="Medium Shading 1 Accent 1" w:semiHidden="false" w:unhideWhenUsed="false"/>
    <w:lsdException w:name="Medium Shading 2 Accent 1" w:semiHidden="false" w:unhideWhenUsed="false"/>
    <w:lsdException w:name="Medium List 1 Accent 1" w:semiHidden="false" w:unhideWhenUsed="false"/>
    <w:lsdException w:name="Revision" w:unhideWhenUsed="false"/>
    <w:lsdException w:name="List Paragraph" w:uiPriority="34" w:semiHidden="false" w:unhideWhenUsed="false" w:qFormat="true"/>
    <w:lsdException w:name="Quote" w:uiPriority="29" w:semiHidden="false" w:unhideWhenUsed="false"/>
    <w:lsdException w:name="Intense Quote" w:uiPriority="30" w:semiHidden="false" w:unhideWhenUsed="false"/>
    <w:lsdException w:name="Medium List 2 Accent 1" w:semiHidden="false" w:unhideWhenUsed="false"/>
    <w:lsdException w:name="Medium Grid 1 Accent 1" w:semiHidden="false" w:unhideWhenUsed="false"/>
    <w:lsdException w:name="Medium Grid 2 Accent 1" w:semiHidden="false" w:unhideWhenUsed="false"/>
    <w:lsdException w:name="Medium Grid 3 Accent 1" w:semiHidden="false" w:unhideWhenUsed="false"/>
    <w:lsdException w:name="Dark List Accent 1" w:semiHidden="false" w:unhideWhenUsed="false"/>
    <w:lsdException w:name="Colorful Shading Accent 1" w:semiHidden="false" w:unhideWhenUsed="false"/>
    <w:lsdException w:name="Colorful List Accent 1" w:semiHidden="false" w:unhideWhenUsed="false"/>
    <w:lsdException w:name="Colorful Grid Accent 1" w:semiHidden="false" w:unhideWhenUsed="false"/>
    <w:lsdException w:name="Light Shading Accent 2" w:semiHidden="false" w:unhideWhenUsed="false"/>
    <w:lsdException w:name="Light List Accent 2" w:semiHidden="false" w:unhideWhenUsed="false"/>
    <w:lsdException w:name="Light Grid Accent 2" w:semiHidden="false" w:unhideWhenUsed="false"/>
    <w:lsdException w:name="Medium Shading 1 Accent 2" w:semiHidden="false" w:unhideWhenUsed="false"/>
    <w:lsdException w:name="Medium Shading 2 Accent 2" w:semiHidden="false" w:unhideWhenUsed="false"/>
    <w:lsdException w:name="Medium List 1 Accent 2" w:semiHidden="false" w:unhideWhenUsed="false"/>
    <w:lsdException w:name="Medium List 2 Accent 2" w:semiHidden="false" w:unhideWhenUsed="false"/>
    <w:lsdException w:name="Medium Grid 1 Accent 2" w:semiHidden="false" w:unhideWhenUsed="false"/>
    <w:lsdException w:name="Medium Grid 2 Accent 2" w:semiHidden="false" w:unhideWhenUsed="false"/>
    <w:lsdException w:name="Medium Grid 3 Accent 2" w:semiHidden="false" w:unhideWhenUsed="false"/>
    <w:lsdException w:name="Dark List Accent 2" w:semiHidden="false" w:unhideWhenUsed="false"/>
    <w:lsdException w:name="Colorful Shading Accent 2" w:semiHidden="false" w:unhideWhenUsed="false"/>
    <w:lsdException w:name="Colorful List Accent 2" w:semiHidden="false" w:unhideWhenUsed="false"/>
    <w:lsdException w:name="Colorful Grid Accent 2" w:semiHidden="false" w:unhideWhenUsed="false"/>
    <w:lsdException w:name="Light Shading Accent 3" w:semiHidden="false" w:unhideWhenUsed="false"/>
    <w:lsdException w:name="Light List Accent 3" w:semiHidden="false" w:unhideWhenUsed="false"/>
    <w:lsdException w:name="Light Grid Accent 3" w:semiHidden="false" w:unhideWhenUsed="false"/>
    <w:lsdException w:name="Medium Shading 1 Accent 3" w:semiHidden="false" w:unhideWhenUsed="false"/>
    <w:lsdException w:name="Medium Shading 2 Accent 3" w:semiHidden="false" w:unhideWhenUsed="false"/>
    <w:lsdException w:name="Medium List 1 Accent 3" w:semiHidden="false" w:unhideWhenUsed="false"/>
    <w:lsdException w:name="Medium List 2 Accent 3" w:semiHidden="false" w:unhideWhenUsed="false"/>
    <w:lsdException w:name="Medium Grid 1 Accent 3" w:semiHidden="false" w:unhideWhenUsed="false"/>
    <w:lsdException w:name="Medium Grid 2 Accent 3" w:semiHidden="false" w:unhideWhenUsed="false"/>
    <w:lsdException w:name="Medium Grid 3 Accent 3" w:semiHidden="false" w:unhideWhenUsed="false"/>
    <w:lsdException w:name="Dark List Accent 3" w:semiHidden="false" w:unhideWhenUsed="false"/>
    <w:lsdException w:name="Colorful Shading Accent 3" w:semiHidden="false" w:unhideWhenUsed="false"/>
    <w:lsdException w:name="Colorful List Accent 3" w:semiHidden="false" w:unhideWhenUsed="false"/>
    <w:lsdException w:name="Colorful Grid Accent 3" w:semiHidden="false" w:unhideWhenUsed="false"/>
    <w:lsdException w:name="Light Shading Accent 4" w:semiHidden="false" w:unhideWhenUsed="false"/>
    <w:lsdException w:name="Light List Accent 4" w:semiHidden="false" w:unhideWhenUsed="false"/>
    <w:lsdException w:name="Light Grid Accent 4" w:semiHidden="false" w:unhideWhenUsed="false"/>
    <w:lsdException w:name="Medium Shading 1 Accent 4" w:semiHidden="false" w:unhideWhenUsed="false"/>
    <w:lsdException w:name="Medium Shading 2 Accent 4" w:semiHidden="false" w:unhideWhenUsed="false"/>
    <w:lsdException w:name="Medium List 1 Accent 4" w:semiHidden="false" w:unhideWhenUsed="false"/>
    <w:lsdException w:name="Medium List 2 Accent 4" w:semiHidden="false" w:unhideWhenUsed="false"/>
    <w:lsdException w:name="Medium Grid 1 Accent 4" w:semiHidden="false" w:unhideWhenUsed="false"/>
    <w:lsdException w:name="Medium Grid 2 Accent 4" w:semiHidden="false" w:unhideWhenUsed="false"/>
    <w:lsdException w:name="Medium Grid 3 Accent 4" w:semiHidden="false" w:unhideWhenUsed="false"/>
    <w:lsdException w:name="Dark List Accent 4" w:semiHidden="false" w:unhideWhenUsed="false"/>
    <w:lsdException w:name="Colorful Shading Accent 4" w:semiHidden="false" w:unhideWhenUsed="false"/>
    <w:lsdException w:name="Colorful List Accent 4" w:semiHidden="false" w:unhideWhenUsed="false"/>
    <w:lsdException w:name="Colorful Grid Accent 4" w:semiHidden="false" w:unhideWhenUsed="false"/>
    <w:lsdException w:name="Light Shading Accent 5" w:semiHidden="false" w:unhideWhenUsed="false"/>
    <w:lsdException w:name="Light List Accent 5" w:semiHidden="false" w:unhideWhenUsed="false"/>
    <w:lsdException w:name="Light Grid Accent 5" w:semiHidden="false" w:unhideWhenUsed="false"/>
    <w:lsdException w:name="Medium Shading 1 Accent 5" w:semiHidden="false" w:unhideWhenUsed="false"/>
    <w:lsdException w:name="Medium Shading 2 Accent 5" w:semiHidden="false" w:unhideWhenUsed="false"/>
    <w:lsdException w:name="Medium List 1 Accent 5" w:semiHidden="false" w:unhideWhenUsed="false"/>
    <w:lsdException w:name="Medium List 2 Accent 5" w:semiHidden="false" w:unhideWhenUsed="false"/>
    <w:lsdException w:name="Medium Grid 1 Accent 5" w:semiHidden="false" w:unhideWhenUsed="false"/>
    <w:lsdException w:name="Medium Grid 2 Accent 5" w:semiHidden="false" w:unhideWhenUsed="false"/>
    <w:lsdException w:name="Medium Grid 3 Accent 5" w:semiHidden="false" w:unhideWhenUsed="false"/>
    <w:lsdException w:name="Dark List Accent 5" w:semiHidden="false" w:unhideWhenUsed="false"/>
    <w:lsdException w:name="Colorful Shading Accent 5" w:semiHidden="false" w:unhideWhenUsed="false"/>
    <w:lsdException w:name="Colorful List Accent 5" w:semiHidden="false" w:unhideWhenUsed="false"/>
    <w:lsdException w:name="Colorful Grid Accent 5" w:semiHidden="false" w:unhideWhenUsed="false"/>
    <w:lsdException w:name="Light Shading Accent 6" w:semiHidden="false" w:unhideWhenUsed="false"/>
    <w:lsdException w:name="Light List Accent 6" w:semiHidden="false" w:unhideWhenUsed="false"/>
    <w:lsdException w:name="Light Grid Accent 6" w:semiHidden="false" w:unhideWhenUsed="false"/>
    <w:lsdException w:name="Medium Shading 1 Accent 6" w:semiHidden="false" w:unhideWhenUsed="false"/>
    <w:lsdException w:name="Medium Shading 2 Accent 6" w:semiHidden="false" w:unhideWhenUsed="false"/>
    <w:lsdException w:name="Medium List 1 Accent 6" w:semiHidden="false" w:unhideWhenUsed="false"/>
    <w:lsdException w:name="Medium List 2 Accent 6" w:semiHidden="false" w:unhideWhenUsed="false"/>
    <w:lsdException w:name="Medium Grid 1 Accent 6" w:semiHidden="false" w:unhideWhenUsed="false"/>
    <w:lsdException w:name="Medium Grid 2 Accent 6" w:semiHidden="false" w:unhideWhenUsed="false"/>
    <w:lsdException w:name="Medium Grid 3 Accent 6" w:semiHidden="false" w:unhideWhenUsed="false"/>
    <w:lsdException w:name="Dark List Accent 6" w:semiHidden="false" w:unhideWhenUsed="false"/>
    <w:lsdException w:name="Colorful Shading Accent 6" w:semiHidden="false" w:unhideWhenUsed="false"/>
    <w:lsdException w:name="Colorful List Accent 6" w:semiHidden="false" w:unhideWhenUsed="false"/>
    <w:lsdException w:name="Colorful Grid Accent 6" w:semiHidden="false" w:unhideWhenUsed="false"/>
    <w:lsdException w:name="Subtle Emphasis" w:uiPriority="19" w:semiHidden="false" w:unhideWhenUsed="false" w:qFormat="true"/>
    <w:lsdException w:name="Intense Emphasis" w:uiPriority="21" w:semiHidden="false" w:unhideWhenUsed="false" w:qFormat="true"/>
    <w:lsdException w:name="Subtle Reference" w:semiHidden="false" w:unhideWhenUsed="false"/>
    <w:lsdException w:name="Intense Reference" w:semiHidden="false" w:unhideWhenUsed="false"/>
    <w:lsdException w:name="Book Title" w:semiHidden="false" w:unhideWhenUsed="false"/>
  </w:latentStyles>
  <w:style w:type="paragraph" w:styleId="Normal" w:default="true">
    <w:name w:val="Normal"/>
    <w:qFormat/>
    <w:rsid w:val="0007483D"/>
    <w:pPr>
      <w:spacing w:after="240" w:line="240" w:lineRule="auto"/>
    </w:pPr>
    <w:rPr>
      <w:rFonts w:ascii="Times New Roman" w:hAnsi="Times New Roman"/>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ascii="Arial" w:hAnsi="Arial"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ascii="Arial" w:hAnsi="Arial"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ascii="Arial" w:hAnsi="Arial"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ascii="Arial" w:hAnsi="Arial"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ascii="Arial" w:hAnsi="Arial"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EB0D4C"/>
    <w:rPr>
      <w:rFonts w:ascii="Times New Roman" w:hAnsi="Times New Roman"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uiPriority w:val="1"/>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EB0D4C"/>
    <w:pPr>
      <w:tabs>
        <w:tab w:val="left" w:pos="7088"/>
      </w:tabs>
      <w:spacing w:after="0"/>
    </w:pPr>
    <w:rPr>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4C60ED"/>
    <w:pPr>
      <w:spacing w:after="0"/>
      <w:ind w:firstLine="0"/>
      <w:jc w:val="right"/>
    </w:pPr>
  </w:style>
  <w:style w:type="character" w:styleId="Stil1" w:customStyle="true">
    <w:name w:val="Stil1"/>
    <w:basedOn w:val="Zadanifontodlomka"/>
    <w:uiPriority w:val="1"/>
    <w:rsid w:val="00683B51"/>
    <w:rPr>
      <w:bdr w:val="none" w:color="auto" w:sz="0" w:space="0"/>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5565905">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1.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header1.xml" Type="http://schemas.openxmlformats.org/officeDocument/2006/relationships/header" Id="rId11"/><Relationship Target="stylesWithEffects.xml" Type="http://schemas.microsoft.com/office/2007/relationships/stylesWithEffects" Id="rId5"/><Relationship Target="theme/theme1.xml" Type="http://schemas.openxmlformats.org/officeDocument/2006/relationships/theme" Id="rId15"/><Relationship Target="media/image1.png" Type="http://schemas.openxmlformats.org/officeDocument/2006/relationships/image" Id="rId10"/><Relationship Target="styles.xml" Type="http://schemas.openxmlformats.org/officeDocument/2006/relationships/styles" Id="rId4"/><Relationship Target="endnotes.xml" Type="http://schemas.openxmlformats.org/officeDocument/2006/relationships/endnotes" Id="rId9"/><Relationship Target="glossary/document.xml" Type="http://schemas.openxmlformats.org/officeDocument/2006/relationships/glossaryDocument"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settings.xml" Type="http://schemas.openxmlformats.org/officeDocument/2006/relationships/settings" Id="rId3"/><Relationship Target="stylesWithEffects.xml" Type="http://schemas.microsoft.com/office/2007/relationships/stylesWithEffects" Id="rId2"/><Relationship Target="styles.xml" Type="http://schemas.openxmlformats.org/officeDocument/2006/relationships/styles" Id="rId1"/><Relationship Target="fontTable.xml" Type="http://schemas.openxmlformats.org/officeDocument/2006/relationships/fontTable" Id="rId5"/><Relationship Target="webSettings.xml" Type="http://schemas.openxmlformats.org/officeDocument/2006/relationships/webSettings" Id="rId4"/></Relationships>
</file>

<file path=word/glossary/document.xml><?xml version="1.0" encoding="utf-8"?>
<w:glossary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00F71AFA" w:rsidP="000714FB" w:rsidRDefault="000714FB">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00F71AFA" w:rsidP="00C4409E" w:rsidRDefault="00C4409E">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00F71AFA" w:rsidP="000714FB" w:rsidRDefault="000714FB">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00F71AFA" w:rsidP="000714FB" w:rsidRDefault="000714FB">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00F71AFA" w:rsidP="000714FB" w:rsidRDefault="000714FB">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00F71AFA" w:rsidP="000714FB" w:rsidRDefault="000714FB">
          <w:pPr>
            <w:pStyle w:val="8E889B82CA684C09A4EBEE999BCF3BD42"/>
          </w:pPr>
          <w:r w:rsidRPr="001C2DDA">
            <w:rPr>
              <w:rStyle w:val="Tekstrezerviranogmjesta"/>
            </w:rPr>
            <w:t>.._.._.._.._.._.._.._..</w:t>
          </w:r>
        </w:p>
      </w:docPartBody>
    </w:docPart>
  </w:docParts>
</w:glossaryDocument>
</file>

<file path=word/glossary/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s>
</file>

<file path=word/glossary/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409E"/>
    <w:rsid w:val="000714FB"/>
    <w:rsid w:val="00097387"/>
    <w:rsid w:val="00121D43"/>
    <w:rsid w:val="00201BA8"/>
    <w:rsid w:val="002C2596"/>
    <w:rsid w:val="003820FE"/>
    <w:rsid w:val="004456A8"/>
    <w:rsid w:val="00483442"/>
    <w:rsid w:val="005858C7"/>
    <w:rsid w:val="00614E4F"/>
    <w:rsid w:val="007B3F2E"/>
    <w:rsid w:val="00855D0C"/>
    <w:rsid w:val="0085783F"/>
    <w:rsid w:val="008B1279"/>
    <w:rsid w:val="008E597B"/>
    <w:rsid w:val="00941805"/>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0714FB"/>
    <w:rPr>
      <w:noProof/>
      <w:color w:val="808080"/>
      <w:bdr w:val="none" w:color="auto" w:sz="0" w:space="0"/>
      <w:shd w:val="clear" w:color="auto" w:fill="CCFFFF"/>
      <w:lang w:val="hr-HR"/>
    </w:rPr>
  </w:style>
  <w:style w:type="paragraph" w:styleId="B0CD4C336F954CDDB99272B08CB277BE" w:customStyle="true">
    <w:name w:val="B0CD4C336F954CDDB99272B08CB277BE"/>
  </w:style>
  <w:style w:type="paragraph" w:styleId="B10D299FF6B04F2980CA59984DD52830" w:customStyle="true">
    <w:name w:val="B10D299FF6B04F2980CA59984DD52830"/>
  </w:style>
  <w:style w:type="paragraph" w:styleId="070491135C7343F8B899B1E5528B5496" w:customStyle="true">
    <w:name w:val="070491135C7343F8B899B1E5528B5496"/>
  </w:style>
  <w:style w:type="paragraph" w:styleId="A2D3AB132FE44C9A804CB0BCE27CB1E8" w:customStyle="true">
    <w:name w:val="A2D3AB132FE44C9A804CB0BCE27CB1E8"/>
  </w:style>
  <w:style w:type="paragraph" w:styleId="67A439E68AF14DC6B7801868564B8225" w:customStyle="true">
    <w:name w:val="67A439E68AF14DC6B7801868564B8225"/>
  </w:style>
  <w:style w:type="paragraph" w:styleId="3893AC13EACA41EDB7C01A448C02A806" w:customStyle="true">
    <w:name w:val="3893AC13EACA41EDB7C01A448C02A806"/>
  </w:style>
  <w:style w:type="paragraph" w:styleId="E9711A8715A34F56AC129391156FDBFB" w:customStyle="true">
    <w:name w:val="E9711A8715A34F56AC129391156FDBFB"/>
  </w:style>
  <w:style w:type="paragraph" w:styleId="74CF45AFD5914477BC863F90DDE40AD1" w:customStyle="true">
    <w:name w:val="74CF45AFD5914477BC863F90DDE40AD1"/>
  </w:style>
  <w:style w:type="paragraph" w:styleId="AD1EE1A2E499453BA7117B7D7B2A6EDB" w:customStyle="true">
    <w:name w:val="AD1EE1A2E499453BA7117B7D7B2A6EDB"/>
  </w:style>
  <w:style w:type="paragraph" w:styleId="BB78A3202184471A856E1C1148D0FE39" w:customStyle="true">
    <w:name w:val="BB78A3202184471A856E1C1148D0FE39"/>
  </w:style>
  <w:style w:type="paragraph" w:styleId="BA562036727348ADAF95C3E6F1785AAD" w:customStyle="true">
    <w:name w:val="BA562036727348ADAF95C3E6F1785AAD"/>
  </w:style>
  <w:style w:type="paragraph" w:styleId="7327DC5479084347B4A62AC2797ECBDD" w:customStyle="true">
    <w:name w:val="7327DC5479084347B4A62AC2797ECBDD"/>
  </w:style>
  <w:style w:type="paragraph" w:styleId="BE633DF1719A4F7F9FC93FF7AC0B8AB8" w:customStyle="true">
    <w:name w:val="BE633DF1719A4F7F9FC93FF7AC0B8AB8"/>
    <w:rsid w:val="00C4409E"/>
  </w:style>
  <w:style w:type="paragraph" w:styleId="28EBA36691C148D6A5A2E6A907A2C366" w:customStyle="true">
    <w:name w:val="28EBA36691C148D6A5A2E6A907A2C366"/>
    <w:rsid w:val="00C4409E"/>
  </w:style>
  <w:style w:type="paragraph" w:styleId="0A3BF5C17DE948178EF6D64909A97797" w:customStyle="true">
    <w:name w:val="0A3BF5C17DE948178EF6D64909A97797"/>
    <w:rsid w:val="00C4409E"/>
  </w:style>
  <w:style w:type="paragraph" w:styleId="A5EDB863C2F640369A45094957B356D9" w:customStyle="true">
    <w:name w:val="A5EDB863C2F640369A45094957B356D9"/>
    <w:rsid w:val="00C4409E"/>
  </w:style>
  <w:style w:type="paragraph" w:styleId="797F028671094211A6375963200B3D17" w:customStyle="true">
    <w:name w:val="797F028671094211A6375963200B3D17"/>
    <w:rsid w:val="00C4409E"/>
  </w:style>
  <w:style w:type="paragraph" w:styleId="01AED7AAFE7A4DD7B63BD3291BC8DE21" w:customStyle="true">
    <w:name w:val="01AED7AAFE7A4DD7B63BD3291BC8DE21"/>
    <w:rsid w:val="00C4409E"/>
  </w:style>
  <w:style w:type="paragraph" w:styleId="8E889B82CA684C09A4EBEE999BCF3BD4" w:customStyle="true">
    <w:name w:val="8E889B82CA684C09A4EBEE999BCF3BD4"/>
    <w:rsid w:val="00C4409E"/>
  </w:style>
  <w:style w:type="paragraph" w:styleId="B10D299FF6B04F2980CA59984DD528301" w:customStyle="true">
    <w:name w:val="B10D299FF6B04F2980CA59984DD528301"/>
    <w:rsid w:val="00201BA8"/>
    <w:pPr>
      <w:spacing w:after="0" w:line="240" w:lineRule="auto"/>
    </w:pPr>
    <w:rPr>
      <w:rFonts w:ascii="Times New Roman" w:hAnsi="Times New Roman" w:eastAsiaTheme="minorHAnsi"/>
      <w:b/>
      <w:noProof/>
      <w:sz w:val="24"/>
      <w:szCs w:val="24"/>
      <w:lang w:eastAsia="en-US"/>
    </w:rPr>
  </w:style>
  <w:style w:type="paragraph" w:styleId="A5EDB863C2F640369A45094957B356D91" w:customStyle="true">
    <w:name w:val="A5EDB863C2F640369A45094957B356D9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1" w:customStyle="true">
    <w:name w:val="797F028671094211A6375963200B3D171"/>
    <w:rsid w:val="00201BA8"/>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1" w:customStyle="true">
    <w:name w:val="01AED7AAFE7A4DD7B63BD3291BC8DE211"/>
    <w:rsid w:val="00201BA8"/>
    <w:pPr>
      <w:spacing w:after="0" w:line="240" w:lineRule="auto"/>
      <w:jc w:val="right"/>
    </w:pPr>
    <w:rPr>
      <w:rFonts w:ascii="Times New Roman" w:hAnsi="Times New Roman" w:eastAsia="Times New Roman"/>
      <w:sz w:val="24"/>
      <w:szCs w:val="24"/>
    </w:rPr>
  </w:style>
  <w:style w:type="paragraph" w:styleId="8E889B82CA684C09A4EBEE999BCF3BD41" w:customStyle="true">
    <w:name w:val="8E889B82CA684C09A4EBEE999BCF3BD41"/>
    <w:rsid w:val="00201BA8"/>
    <w:pPr>
      <w:spacing w:after="0" w:line="240" w:lineRule="auto"/>
      <w:jc w:val="right"/>
    </w:pPr>
    <w:rPr>
      <w:rFonts w:ascii="Times New Roman" w:hAnsi="Times New Roman" w:eastAsia="Times New Roman"/>
      <w:sz w:val="24"/>
      <w:szCs w:val="24"/>
    </w:rPr>
  </w:style>
  <w:style w:type="paragraph" w:styleId="7F40C0097BA249BC9A5FE9CB01777649" w:customStyle="true">
    <w:name w:val="7F40C0097BA249BC9A5FE9CB01777649"/>
    <w:rsid w:val="00201BA8"/>
    <w:pPr>
      <w:spacing w:after="0" w:line="240" w:lineRule="auto"/>
      <w:jc w:val="right"/>
    </w:pPr>
    <w:rPr>
      <w:rFonts w:ascii="Times New Roman" w:hAnsi="Times New Roman" w:eastAsia="Times New Roman"/>
      <w:sz w:val="24"/>
      <w:szCs w:val="24"/>
    </w:rPr>
  </w:style>
  <w:style w:type="paragraph" w:styleId="55D09C916B014103813FC3AEB1980F99" w:customStyle="true">
    <w:name w:val="55D09C916B014103813FC3AEB1980F99"/>
    <w:rsid w:val="00201BA8"/>
    <w:pPr>
      <w:spacing w:after="0" w:line="240" w:lineRule="auto"/>
      <w:jc w:val="right"/>
    </w:pPr>
    <w:rPr>
      <w:rFonts w:ascii="Times New Roman" w:hAnsi="Times New Roman" w:eastAsia="Times New Roman"/>
      <w:sz w:val="24"/>
      <w:szCs w:val="24"/>
    </w:rPr>
  </w:style>
  <w:style w:type="paragraph" w:styleId="B10D299FF6B04F2980CA59984DD528302" w:customStyle="true">
    <w:name w:val="B10D299FF6B04F2980CA59984DD528302"/>
    <w:rsid w:val="000714FB"/>
    <w:pPr>
      <w:spacing w:after="0" w:line="240" w:lineRule="auto"/>
    </w:pPr>
    <w:rPr>
      <w:rFonts w:ascii="Times New Roman" w:hAnsi="Times New Roman" w:eastAsiaTheme="minorHAnsi"/>
      <w:b/>
      <w:noProof/>
      <w:sz w:val="24"/>
      <w:szCs w:val="24"/>
      <w:lang w:eastAsia="en-US"/>
    </w:rPr>
  </w:style>
  <w:style w:type="paragraph" w:styleId="A5EDB863C2F640369A45094957B356D92" w:customStyle="true">
    <w:name w:val="A5EDB863C2F640369A45094957B356D9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797F028671094211A6375963200B3D172" w:customStyle="true">
    <w:name w:val="797F028671094211A6375963200B3D172"/>
    <w:rsid w:val="000714FB"/>
    <w:pPr>
      <w:tabs>
        <w:tab w:val="left" w:pos="7088"/>
      </w:tabs>
      <w:spacing w:after="0" w:line="240" w:lineRule="auto"/>
      <w:contextualSpacing/>
    </w:pPr>
    <w:rPr>
      <w:rFonts w:ascii="Times New Roman" w:hAnsi="Times New Roman" w:eastAsia="Times New Roman" w:cs="Times New Roman"/>
      <w:noProof/>
      <w:sz w:val="24"/>
      <w:szCs w:val="24"/>
    </w:rPr>
  </w:style>
  <w:style w:type="paragraph" w:styleId="01AED7AAFE7A4DD7B63BD3291BC8DE212" w:customStyle="true">
    <w:name w:val="01AED7AAFE7A4DD7B63BD3291BC8DE212"/>
    <w:rsid w:val="000714FB"/>
    <w:pPr>
      <w:spacing w:after="0" w:line="240" w:lineRule="auto"/>
      <w:jc w:val="right"/>
    </w:pPr>
    <w:rPr>
      <w:rFonts w:ascii="Times New Roman" w:hAnsi="Times New Roman" w:eastAsia="Times New Roman"/>
      <w:sz w:val="24"/>
      <w:szCs w:val="24"/>
    </w:rPr>
  </w:style>
  <w:style w:type="paragraph" w:styleId="8E889B82CA684C09A4EBEE999BCF3BD42" w:customStyle="true">
    <w:name w:val="8E889B82CA684C09A4EBEE999BCF3BD42"/>
    <w:rsid w:val="000714FB"/>
    <w:pPr>
      <w:spacing w:after="0" w:line="240" w:lineRule="auto"/>
      <w:jc w:val="right"/>
    </w:pPr>
    <w:rPr>
      <w:rFonts w:ascii="Times New Roman" w:hAnsi="Times New Roman" w:eastAsia="Times New Roman"/>
      <w:sz w:val="24"/>
      <w:szCs w:val="24"/>
    </w:rPr>
  </w:style>
  <w:style w:type="paragraph" w:styleId="50E210BC598946C59CC45DC66EE147E1" w:customStyle="true">
    <w:name w:val="50E210BC598946C59CC45DC66EE147E1"/>
    <w:rsid w:val="000714FB"/>
    <w:pPr>
      <w:spacing w:after="0" w:line="240" w:lineRule="auto"/>
      <w:jc w:val="right"/>
    </w:pPr>
    <w:rPr>
      <w:rFonts w:ascii="Times New Roman" w:hAnsi="Times New Roman" w:eastAsia="Times New Roman"/>
      <w:sz w:val="24"/>
      <w:szCs w:val="24"/>
    </w:rPr>
  </w:style>
  <w:style w:type="paragraph" w:styleId="E100744690C94E8496AF6717CFF0F122" w:customStyle="true">
    <w:name w:val="E100744690C94E8496AF6717CFF0F122"/>
    <w:rsid w:val="000714FB"/>
    <w:pPr>
      <w:spacing w:after="0" w:line="240" w:lineRule="auto"/>
      <w:jc w:val="right"/>
    </w:pPr>
    <w:rPr>
      <w:rFonts w:ascii="Times New Roman" w:hAnsi="Times New Roman" w:eastAsia="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25. rujna 2019.</izvorni_sadrzaj>
    <derivirana_varijabla naziv="DomainObject.DatumDonosenjaOdluke_1">25. rujna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Pž-5438/2019-2</izvorni_sadrzaj>
    <derivirana_varijabla naziv="DomainObject.Oznaka_1">Pž-5438/2019-2</derivirana_varijabla>
  </DomainObject.Oznaka>
  <DomainObject.DonositeljOdluke.Ime>
    <izvorni_sadrzaj>Davor</izvorni_sadrzaj>
    <derivirana_varijabla naziv="DomainObject.DonositeljOdluke.Ime_1">Davor</derivirana_varijabla>
  </DomainObject.DonositeljOdluke.Ime>
  <DomainObject.DonositeljOdluke.Prezime>
    <izvorni_sadrzaj>Pustijanac</izvorni_sadrzaj>
    <derivirana_varijabla naziv="DomainObject.DonositeljOdluke.Prezime_1">Pustijanac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5438</izvorni_sadrzaj>
    <derivirana_varijabla naziv="DomainObject.Predmet.Broj_1">5438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2019.</izvorni_sadrzaj>
    <derivirana_varijabla naziv="DomainObject.Predmet.DatumOsnivanja_1">19. rujna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27. rujna 2019.</izvorni_sadrzaj>
    <derivirana_varijabla naziv="DomainObject.Predmet.DatumRjesavanja_1">27. rujna 2019.</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Pž-5438/2019</izvorni_sadrzaj>
    <derivirana_varijabla naziv="DomainObject.Predmet.OznakaBroj_1">Pž-5438/2019</derivirana_varijabla>
  </DomainObject.Predmet.OznakaBroj>
  <DomainObject.Predmet.OznakaBrojOptuznogAkta>
    <izvorni_sadrzaj/>
    <derivirana_varijabla naziv="DomainObject.Predmet.OznakaBrojOptuznogAkta_1"/>
  </DomainObject.Predmet.OznakaBrojOptuznogAkta>
  <DomainObject.Predmet.PredmetRijesio.Ime>
    <izvorni_sadrzaj>Davor</izvorni_sadrzaj>
    <derivirana_varijabla naziv="DomainObject.Predmet.PredmetRijesio.Ime_1">Davor</derivirana_varijabla>
  </DomainObject.Predmet.PredmetRijesio.Ime>
  <DomainObject.Predmet.PredmetRijesio.Oib>
    <izvorni_sadrzaj>72201606858</izvorni_sadrzaj>
    <derivirana_varijabla naziv="DomainObject.Predmet.PredmetRijesio.Oib_1">72201606858</derivirana_varijabla>
  </DomainObject.Predmet.PredmetRijesio.Oib>
  <DomainObject.Predmet.PredmetRijesio.Prezime>
    <izvorni_sadrzaj>Pustijanac</izvorni_sadrzaj>
    <derivirana_varijabla naziv="DomainObject.Predmet.PredmetRijesio.Prezime_1">Pustijanac</derivirana_varijabla>
  </DomainObject.Predmet.PredmetRijesio.Prezime>
  <DomainObject.Predmet.PrimjedbaSuca>
    <izvorni_sadrzaj>predst. postupak</izvorni_sadrzaj>
    <derivirana_varijabla naziv="DomainObject.Predmet.PrimjedbaSuca_1">predst. postupak</derivirana_varijabla>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erivirana_varijabla naziv="Padez"/>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 67 - Pustijanac</izvorni_sadrzaj>
    <derivirana_varijabla naziv="DomainObject.Predmet.Referada.Naziv_1">Ref. 67 - Pustijanac</derivirana_varijabla>
  </DomainObject.Predmet.Referada.Naziv>
  <DomainObject.Predmet.Referada.Oznaka>
    <izvorni_sadrzaj>67</izvorni_sadrzaj>
    <derivirana_varijabla naziv="DomainObject.Predmet.Referada.Oznaka_1">67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Davor Pustijanac</izvorni_sadrzaj>
    <derivirana_varijabla naziv="DomainObject.Predmet.Referada.Sudac_1">Davor Pustijanac</derivirana_varijabla>
    <derivirana_varijabla naziv="Dativ">Davor Pustijanac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BRODOTROGIR d.d.</izvorni_sadrzaj>
    <derivirana_varijabla naziv="DomainObject.Predmet.StrankaFormated_1">  BRODOTROGIR d.d.</derivirana_varijabla>
  </DomainObject.Predmet.StrankaFormated>
  <DomainObject.Predmet.StrankaFormatedOIB>
    <izvorni_sadrzaj>  BRODOTROGIR d.d., OIB 02610134628</izvorni_sadrzaj>
    <derivirana_varijabla naziv="DomainObject.Predmet.StrankaFormatedOIB_1">  BRODOTROGIR d.d., OIB 02610134628</derivirana_varijabla>
  </DomainObject.Predmet.StrankaFormatedOIB>
  <DomainObject.Predmet.StrankaFormatedWithAdress>
    <izvorni_sadrzaj> BRODOTROGIR d.d., Put brodograditelja 16, 21220 Trogir</izvorni_sadrzaj>
    <derivirana_varijabla naziv="DomainObject.Predmet.StrankaFormatedWithAdress_1"> BRODOTROGIR d.d., Put brodograditelja 16, 21220 Trogir</derivirana_varijabla>
  </DomainObject.Predmet.StrankaFormatedWithAdress>
  <DomainObject.Predmet.StrankaFormatedWithAdressOIB>
    <izvorni_sadrzaj> BRODOTROGIR d.d., OIB 02610134628, Put brodograditelja 16, 21220 Trogir</izvorni_sadrzaj>
    <derivirana_varijabla naziv="DomainObject.Predmet.StrankaFormatedWithAdressOIB_1"> BRODOTROGIR d.d., OIB 02610134628, Put brodograditelja 16, 21220 Trogir</derivirana_varijabla>
  </DomainObject.Predmet.StrankaFormatedWithAdressOIB>
  <DomainObject.Predmet.StrankaWithAdress>
    <izvorni_sadrzaj>BRODOTROGIR d.d. Put brodograditelja 16,21220 Trogir</izvorni_sadrzaj>
    <derivirana_varijabla naziv="DomainObject.Predmet.StrankaWithAdress_1">BRODOTROGIR d.d. Put brodograditelja 16,21220 Trogir</derivirana_varijabla>
  </DomainObject.Predmet.StrankaWithAdress>
  <DomainObject.Predmet.StrankaWithAdressOIB>
    <izvorni_sadrzaj>BRODOTROGIR d.d., OIB 02610134628, Put brodograditelja 16,21220 Trogir</izvorni_sadrzaj>
    <derivirana_varijabla naziv="DomainObject.Predmet.StrankaWithAdressOIB_1">BRODOTROGIR d.d., OIB 02610134628, Put brodograditelja 16,21220 Trogir</derivirana_varijabla>
  </DomainObject.Predmet.StrankaWithAdressOIB>
  <DomainObject.Predmet.StrankaNazivFormated>
    <izvorni_sadrzaj>BRODOTROGIR d.d.</izvorni_sadrzaj>
    <derivirana_varijabla naziv="DomainObject.Predmet.StrankaNazivFormated_1">BRODOTROGIR d.d.</derivirana_varijabla>
    <derivirana_varijabla naziv="Padez">BRODOTROGIR d.d.</derivirana_varijabla>
  </DomainObject.Predmet.StrankaNazivFormated>
  <DomainObject.Predmet.StrankaNazivFormatedOIB>
    <izvorni_sadrzaj>BRODOTROGIR d.d., OIB 02610134628</izvorni_sadrzaj>
    <derivirana_varijabla naziv="DomainObject.Predmet.StrankaNazivFormatedOIB_1">BRODOTROGIR d.d., OIB 02610134628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Osporeno potraživanje</izvorni_sadrzaj>
    <derivirana_varijabla naziv="DomainObject.Predmet.VrstaSpora.Naziv_1">Osporeno potraživanje</derivirana_varijabla>
  </DomainObject.Predmet.VrstaSpora.Naziv>
  <DomainObject.Predmet.Zapisnicar>
    <izvorni_sadrzaj>Ankica Žegarac</izvorni_sadrzaj>
    <derivirana_varijabla naziv="DomainObject.Predmet.Zapisnicar_1">Ankica Žegarac</derivirana_varijabla>
    <derivirana_varijabla naziv="Padez">Ankica Žegarac</derivirana_varijabla>
  </DomainObject.Predmet.Zapisnicar>
  <DomainObject.Predmet.StrankaListFormated>
    <izvorni_sadrzaj>
      <item>BRODOTROGIR d.d.</item>
    </izvorni_sadrzaj>
    <derivirana_varijabla naziv="DomainObject.Predmet.StrankaListFormated_1">
      <item>BRODOTROGIR d.d.</item>
    </derivirana_varijabla>
  </DomainObject.Predmet.StrankaListFormated>
  <DomainObject.Predmet.StrankaListFormatedOIB>
    <izvorni_sadrzaj>
      <item>BRODOTROGIR d.d., OIB 02610134628</item>
    </izvorni_sadrzaj>
    <derivirana_varijabla naziv="DomainObject.Predmet.StrankaListFormatedOIB_1">
      <item>BRODOTROGIR d.d., OIB 02610134628</item>
    </derivirana_varijabla>
  </DomainObject.Predmet.StrankaListFormatedOIB>
  <DomainObject.Predmet.StrankaListFormatedWithAdress>
    <izvorni_sadrzaj>
      <item>BRODOTROGIR d.d., Put brodograditelja 16, 21220 Trogir</item>
    </izvorni_sadrzaj>
    <derivirana_varijabla naziv="DomainObject.Predmet.StrankaListFormatedWithAdress_1">
      <item>BRODOTROGIR d.d., Put brodograditelja 16, 21220 Trogir</item>
    </derivirana_varijabla>
  </DomainObject.Predmet.StrankaListFormatedWithAdress>
  <DomainObject.Predmet.StrankaListFormatedWithAdressOIB>
    <izvorni_sadrzaj>
      <item>BRODOTROGIR d.d., OIB 02610134628, Put brodograditelja 16, 21220 Trogir</item>
    </izvorni_sadrzaj>
    <derivirana_varijabla naziv="DomainObject.Predmet.StrankaListFormatedWithAdressOIB_1">
      <item>BRODOTROGIR d.d., OIB 02610134628, Put brodograditelja 16, 21220 Trogir</item>
    </derivirana_varijabla>
  </DomainObject.Predmet.StrankaListFormatedWithAdressOIB>
  <DomainObject.Predmet.StrankaListNazivFormated>
    <izvorni_sadrzaj>
      <item>BRODOTROGIR d.d.</item>
    </izvorni_sadrzaj>
    <derivirana_varijabla naziv="DomainObject.Predmet.StrankaListNazivFormated_1">
      <item>BRODOTROGIR d.d.</item>
    </derivirana_varijabla>
  </DomainObject.Predmet.StrankaListNazivFormated>
  <DomainObject.Predmet.StrankaListNazivFormatedOIB>
    <izvorni_sadrzaj>
      <item>BRODOTROGIR d.d., OIB 02610134628</item>
    </izvorni_sadrzaj>
    <derivirana_varijabla naziv="DomainObject.Predmet.StrankaListNazivFormatedOIB_1">
      <item>BRODOTROGIR d.d., OIB 02610134628</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30. rujna 2019.</izvorni_sadrzaj>
    <derivirana_varijabla naziv="DomainObject.Datum_1">30. rujna 2019.</derivirana_varijabla>
  </DomainObject.Datum>
  <DomainObject.PoslovniBrojDokumenta>
    <izvorni_sadrzaj>Pž-5438/2019-2</izvorni_sadrzaj>
    <derivirana_varijabla naziv="DomainObject.PoslovniBrojDokumenta_1">Pž-5438/2019-2</derivirana_varijabla>
  </DomainObject.PoslovniBrojDokumenta>
  <DomainObject.Predmet.StrankaIDrugi>
    <izvorni_sadrzaj>BRODOTROGIR d.d.</izvorni_sadrzaj>
    <derivirana_varijabla naziv="DomainObject.Predmet.StrankaIDrugi_1">BRODOTROGIR d.d.</derivirana_varijabla>
  </DomainObject.Predmet.StrankaIDrugi>
  <DomainObject.Predmet.ProtustrankaIDrugi>
    <izvorni_sadrzaj/>
    <derivirana_varijabla naziv="DomainObject.Predmet.ProtustrankaIDrugi_1"/>
  </DomainObject.Predmet.ProtustrankaIDrugi>
  <DomainObject.Predmet.StrankaIDrugiAdressOIB>
    <izvorni_sadrzaj>BRODOTROGIR d.d., OIB 02610134628, Put brodograditelja 16, 21220 Trogir</izvorni_sadrzaj>
    <derivirana_varijabla naziv="DomainObject.Predmet.StrankaIDrugiAdressOIB_1">BRODOTROGIR d.d., OIB 02610134628, Put brodograditelja 16, 21220 Trogir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25. rujna 2019.</izvorni_sadrzaj>
    <derivirana_varijabla naziv="DomainObject.Predmet.OdlukaRjesenje.DatumDonosenjaOdluke_1">25. rujna 2019.</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Pž-5438/2019-2</izvorni_sadrzaj>
    <derivirana_varijabla naziv="DomainObject.Predmet.OdlukaRjesenje.Oznaka_1">Pž-5438/2019-2</derivirana_varijabla>
  </DomainObject.Predmet.OdlukaRjesenje.Oznaka>
  <DomainObject.Predmet.SudioniciListNaziv>
    <izvorni_sadrzaj>
      <item>BRODOTROGIR d.d.</item>
    </izvorni_sadrzaj>
    <derivirana_varijabla naziv="DomainObject.Predmet.SudioniciListNaziv_1">
      <item>BRODOTROGIR d.d.</item>
    </derivirana_varijabla>
    <derivirana_varijabla naziv="OstaliSudionici">
      <item>BRODOTROGIR d.d.</item>
    </derivirana_varijabla>
  </DomainObject.Predmet.SudioniciListNaziv>
  <DomainObject.Predmet.SudioniciListAdressOIB>
    <izvorni_sadrzaj>
      <item>BRODOTROGIR d.d., OIB 02610134628, Put brodograditelja 16,21220 Trogir</item>
    </izvorni_sadrzaj>
    <derivirana_varijabla naziv="DomainObject.Predmet.SudioniciListAdressOIB_1">
      <item>BRODOTROGIR d.d., OIB 02610134628, Put brodograditelja 16,21220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02610134628</item>
    </izvorni_sadrzaj>
    <derivirana_varijabla naziv="DomainObject.Predmet.SudioniciListNazivOIB_1">
      <item>, OIB 02610134628</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St-115/2019</izvorni_sadrzaj>
    <derivirana_varijabla naziv="DomainObject.Predmet.OznakaNizestupanjskogPredmeta_1">St-115/2019</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F2D402-8F29-4D47-9320-B1E8B9B8D9F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
  <properties:Pages>3</properties:Pages>
  <properties:Words>832</properties:Words>
  <properties:Characters>4610</properties:Characters>
  <properties:Lines>109</properties:Lines>
  <properties:Paragraphs>25</properties:Paragraphs>
  <properties:TotalTime>175</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5429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Marija Omazić</cp:lastModifiedBy>
  <cp:lastPrinted>2019-09-30T13:35:00Z</cp:lastPrinted>
  <dcterms:modified xmlns:xsi="http://www.w3.org/2001/XMLSchema-instance" xsi:type="dcterms:W3CDTF">2019-10-10T07:10:00Z</dcterms:modified>
  <cp:revision>24</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Podnesak - Rješenje - odbijena žalba kao neosnovana - potvrđeno rješenje 1.st. (Pž-5438-19_-_odluka.docx)</vt:lpwstr>
  </prop:property>
  <prop:property fmtid="{D5CDD505-2E9C-101B-9397-08002B2CF9AE}" pid="6" name="Predlozak_id">
    <vt:lpwstr>1000000655</vt:lpwstr>
  </prop:property>
  <prop:property fmtid="{D5CDD505-2E9C-101B-9397-08002B2CF9AE}" pid="7" name="Predlozak_oznaka">
    <vt:lpwstr>VTSRH-memorandum2018</vt:lpwstr>
  </prop:property>
  <prop:property fmtid="{D5CDD505-2E9C-101B-9397-08002B2CF9AE}" pid="8" name="Predlozak_naziv">
    <vt:lpwstr>VTSRH - memorandum 2018 s grbom, dopis, presuda, rješenje s poslovnim brojem </vt:lpwstr>
  </prop:property>
</prop:Properties>
</file>